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C43E" w14:textId="5E009D65" w:rsidR="00C62855" w:rsidRDefault="0038160F">
      <w:r>
        <w:rPr>
          <w:rFonts w:ascii="Segoe UI" w:hAnsi="Segoe UI" w:cs="Segoe UI"/>
          <w:sz w:val="21"/>
          <w:szCs w:val="21"/>
          <w:shd w:val="clear" w:color="auto" w:fill="FFFFFF"/>
        </w:rPr>
        <w:t>There will be a requirement to attend a number of medical centres utilised within the contract as well.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West Street MK18 4L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Small Dean HP22 6PQ 25 miles from MK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A41 Bicester HP18 0PX 16 miles from MK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Chipping Warden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Brackley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MK Head Office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Bicester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Working hours are - Mon, Tue, Wed,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Thur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, Fri, 40 hours per week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The role: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The working day will vary depending upon the business requirement and could consist of undertaking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PhIL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calls for part of the day, with management referrals which would include the option for referring managers to request a pre &amp; post briefing call, working out on site undertaking workplace assessments, observing work practices and reporting on improvements that could be recommended and Toolbox talks/presentations, undertaking training with both employees and managers.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The role will be part of a team consisting of OHA, OHN, OHP, Wellbeing Adviser, GP and client services.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Car Allowance available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Salary - £28 - £35k depending on experience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Qualifications required: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Degree level Physiotherapy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Sports rehab therapist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Member of CSP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Member of HCPC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Or BASRAT registered</w:t>
      </w:r>
    </w:p>
    <w:sectPr w:rsidR="00C62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0F"/>
    <w:rsid w:val="0038160F"/>
    <w:rsid w:val="00C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859E"/>
  <w15:chartTrackingRefBased/>
  <w15:docId w15:val="{143D4ADF-5AEA-4325-A65F-DD0A3FA1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Regan</dc:creator>
  <cp:keywords/>
  <dc:description/>
  <cp:lastModifiedBy>Tracey Regan</cp:lastModifiedBy>
  <cp:revision>1</cp:revision>
  <dcterms:created xsi:type="dcterms:W3CDTF">2023-02-07T14:29:00Z</dcterms:created>
  <dcterms:modified xsi:type="dcterms:W3CDTF">2023-02-07T14:30:00Z</dcterms:modified>
</cp:coreProperties>
</file>